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B046" w14:textId="77777777" w:rsidR="00BF5A85" w:rsidRPr="0081443E" w:rsidRDefault="00BF5A85">
      <w:pPr>
        <w:rPr>
          <w:b/>
        </w:rPr>
      </w:pPr>
      <w:r w:rsidRPr="0081443E">
        <w:rPr>
          <w:b/>
        </w:rPr>
        <w:t>Bijlage Ja_NEE kwaliteit Subcriterium 3_Mate voldoen aan wensen</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4"/>
        <w:gridCol w:w="10643"/>
        <w:gridCol w:w="1231"/>
        <w:gridCol w:w="1843"/>
      </w:tblGrid>
      <w:tr w:rsidR="0064272A" w:rsidRPr="0064272A" w14:paraId="0AC68D13" w14:textId="77777777" w:rsidTr="00E63813">
        <w:trPr>
          <w:trHeight w:val="304"/>
        </w:trPr>
        <w:tc>
          <w:tcPr>
            <w:tcW w:w="1304" w:type="dxa"/>
            <w:shd w:val="clear" w:color="auto" w:fill="auto"/>
            <w:noWrap/>
            <w:vAlign w:val="bottom"/>
            <w:hideMark/>
          </w:tcPr>
          <w:p w14:paraId="56C630F0" w14:textId="77777777" w:rsidR="0064272A" w:rsidRPr="0064272A" w:rsidRDefault="0064272A" w:rsidP="0064272A">
            <w:pPr>
              <w:spacing w:after="0" w:line="240" w:lineRule="auto"/>
              <w:rPr>
                <w:b/>
              </w:rPr>
            </w:pPr>
            <w:r w:rsidRPr="0064272A">
              <w:rPr>
                <w:b/>
              </w:rPr>
              <w:t>Wens volgnummer</w:t>
            </w:r>
          </w:p>
        </w:tc>
        <w:tc>
          <w:tcPr>
            <w:tcW w:w="10643" w:type="dxa"/>
            <w:shd w:val="clear" w:color="auto" w:fill="auto"/>
            <w:noWrap/>
            <w:vAlign w:val="bottom"/>
            <w:hideMark/>
          </w:tcPr>
          <w:p w14:paraId="0C505A48" w14:textId="77777777" w:rsidR="0064272A" w:rsidRPr="0064272A" w:rsidRDefault="0064272A" w:rsidP="0064272A">
            <w:pPr>
              <w:spacing w:after="0" w:line="240" w:lineRule="auto"/>
              <w:rPr>
                <w:b/>
              </w:rPr>
            </w:pPr>
            <w:r w:rsidRPr="0064272A">
              <w:rPr>
                <w:b/>
              </w:rPr>
              <w:t>Beschrijving</w:t>
            </w:r>
          </w:p>
        </w:tc>
        <w:tc>
          <w:tcPr>
            <w:tcW w:w="1231" w:type="dxa"/>
          </w:tcPr>
          <w:p w14:paraId="01A42FA3" w14:textId="77777777" w:rsidR="0064272A" w:rsidRPr="0064272A" w:rsidRDefault="0064272A" w:rsidP="0064272A">
            <w:pPr>
              <w:spacing w:after="0" w:line="240" w:lineRule="auto"/>
              <w:rPr>
                <w:rFonts w:ascii="Calibri" w:eastAsia="Times New Roman" w:hAnsi="Calibri" w:cs="Calibri"/>
                <w:b/>
                <w:bCs/>
                <w:color w:val="000000"/>
                <w:lang w:eastAsia="nl-NL"/>
              </w:rPr>
            </w:pPr>
          </w:p>
        </w:tc>
        <w:tc>
          <w:tcPr>
            <w:tcW w:w="1843" w:type="dxa"/>
          </w:tcPr>
          <w:p w14:paraId="12C42B87" w14:textId="77777777" w:rsidR="0064272A" w:rsidRPr="0081443E" w:rsidRDefault="0064272A" w:rsidP="0064272A">
            <w:pPr>
              <w:spacing w:after="0" w:line="240" w:lineRule="auto"/>
              <w:rPr>
                <w:rFonts w:ascii="Calibri" w:eastAsia="Times New Roman" w:hAnsi="Calibri" w:cs="Calibri"/>
                <w:b/>
                <w:bCs/>
                <w:color w:val="000000"/>
                <w:lang w:eastAsia="nl-NL"/>
              </w:rPr>
            </w:pPr>
            <w:r w:rsidRPr="0081443E">
              <w:rPr>
                <w:b/>
              </w:rPr>
              <w:t>Toelichting om bevestiging aantoonbaar te maken.</w:t>
            </w:r>
          </w:p>
        </w:tc>
      </w:tr>
      <w:tr w:rsidR="0064272A" w:rsidRPr="0064272A" w14:paraId="08F8B58C" w14:textId="77777777" w:rsidTr="00E63813">
        <w:trPr>
          <w:trHeight w:val="304"/>
        </w:trPr>
        <w:tc>
          <w:tcPr>
            <w:tcW w:w="1304" w:type="dxa"/>
            <w:shd w:val="clear" w:color="auto" w:fill="auto"/>
            <w:noWrap/>
            <w:vAlign w:val="bottom"/>
            <w:hideMark/>
          </w:tcPr>
          <w:p w14:paraId="7E1EC543"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w:t>
            </w:r>
          </w:p>
        </w:tc>
        <w:tc>
          <w:tcPr>
            <w:tcW w:w="10643" w:type="dxa"/>
            <w:shd w:val="clear" w:color="auto" w:fill="auto"/>
            <w:noWrap/>
            <w:vAlign w:val="bottom"/>
            <w:hideMark/>
          </w:tcPr>
          <w:p w14:paraId="7D829C1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In de basis wordt de inrichting van de zaaktypen overgenomen zoals de landelijke ZTC deze kent. Het kan echter zijn dat er per deelnemende organisatie andere eisen  bestaan voor lokale aanpassingen (de zgn. Coulour Locale). De ICT-Oplossing ondersteunt dit bij de hier opgenomen elementen.</w:t>
            </w:r>
          </w:p>
        </w:tc>
        <w:tc>
          <w:tcPr>
            <w:tcW w:w="1231" w:type="dxa"/>
          </w:tcPr>
          <w:p w14:paraId="16AB8450" w14:textId="77777777" w:rsidR="0064272A" w:rsidRPr="0064272A" w:rsidRDefault="0064272A" w:rsidP="0064272A">
            <w:pPr>
              <w:spacing w:after="0" w:line="240" w:lineRule="auto"/>
              <w:rPr>
                <w:rFonts w:ascii="Calibri" w:eastAsia="Times New Roman" w:hAnsi="Calibri" w:cs="Calibri"/>
                <w:color w:val="000000"/>
                <w:lang w:eastAsia="nl-NL"/>
              </w:rPr>
            </w:pPr>
            <w:r>
              <w:t>Ja/Nee</w:t>
            </w:r>
          </w:p>
        </w:tc>
        <w:tc>
          <w:tcPr>
            <w:tcW w:w="1843" w:type="dxa"/>
          </w:tcPr>
          <w:p w14:paraId="4CFFB612"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5B23DDDD" w14:textId="77777777" w:rsidTr="00E63813">
        <w:trPr>
          <w:trHeight w:val="304"/>
        </w:trPr>
        <w:tc>
          <w:tcPr>
            <w:tcW w:w="1304" w:type="dxa"/>
            <w:shd w:val="clear" w:color="auto" w:fill="auto"/>
            <w:noWrap/>
            <w:vAlign w:val="bottom"/>
            <w:hideMark/>
          </w:tcPr>
          <w:p w14:paraId="485969A4"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w:t>
            </w:r>
          </w:p>
        </w:tc>
        <w:tc>
          <w:tcPr>
            <w:tcW w:w="10643" w:type="dxa"/>
            <w:shd w:val="clear" w:color="auto" w:fill="auto"/>
            <w:noWrap/>
            <w:vAlign w:val="bottom"/>
            <w:hideMark/>
          </w:tcPr>
          <w:p w14:paraId="293691BF"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Er is sprake van een directe overdracht van Vergunningverlening naar Toezicht &amp; Handhaving tussen organisaties, met name van Bevoegd Gezag naar uitvoeringsorganisaties.</w:t>
            </w:r>
          </w:p>
        </w:tc>
        <w:tc>
          <w:tcPr>
            <w:tcW w:w="1231" w:type="dxa"/>
          </w:tcPr>
          <w:p w14:paraId="2D8205B5"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7021C8DE"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6C76E4E7" w14:textId="77777777" w:rsidTr="00E63813">
        <w:trPr>
          <w:trHeight w:val="304"/>
        </w:trPr>
        <w:tc>
          <w:tcPr>
            <w:tcW w:w="1304" w:type="dxa"/>
            <w:shd w:val="clear" w:color="auto" w:fill="auto"/>
            <w:noWrap/>
            <w:vAlign w:val="bottom"/>
            <w:hideMark/>
          </w:tcPr>
          <w:p w14:paraId="0A0352D0"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w:t>
            </w:r>
          </w:p>
        </w:tc>
        <w:tc>
          <w:tcPr>
            <w:tcW w:w="10643" w:type="dxa"/>
            <w:shd w:val="clear" w:color="auto" w:fill="auto"/>
            <w:noWrap/>
            <w:vAlign w:val="bottom"/>
            <w:hideMark/>
          </w:tcPr>
          <w:p w14:paraId="3C8C9BC7"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Het is mogelijk om e-formulieren te koppelen, inclusief het opstellen van en verwerken van de output van vragenbomen.</w:t>
            </w:r>
          </w:p>
        </w:tc>
        <w:tc>
          <w:tcPr>
            <w:tcW w:w="1231" w:type="dxa"/>
          </w:tcPr>
          <w:p w14:paraId="7940ED31"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4AD87114"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59F941E7" w14:textId="77777777" w:rsidTr="00E63813">
        <w:trPr>
          <w:trHeight w:val="304"/>
        </w:trPr>
        <w:tc>
          <w:tcPr>
            <w:tcW w:w="1304" w:type="dxa"/>
            <w:shd w:val="clear" w:color="auto" w:fill="auto"/>
            <w:noWrap/>
            <w:vAlign w:val="bottom"/>
            <w:hideMark/>
          </w:tcPr>
          <w:p w14:paraId="28386D8D"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w:t>
            </w:r>
          </w:p>
        </w:tc>
        <w:tc>
          <w:tcPr>
            <w:tcW w:w="10643" w:type="dxa"/>
            <w:shd w:val="clear" w:color="auto" w:fill="auto"/>
            <w:noWrap/>
            <w:vAlign w:val="bottom"/>
            <w:hideMark/>
          </w:tcPr>
          <w:p w14:paraId="17CF88F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Er is sprake van een centraal binnenkomend kanaal met signalering indien niet op tijd geacteerd wordt, waar dan ook in de keten.</w:t>
            </w:r>
          </w:p>
        </w:tc>
        <w:tc>
          <w:tcPr>
            <w:tcW w:w="1231" w:type="dxa"/>
          </w:tcPr>
          <w:p w14:paraId="0FC68EA1"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4F5A659E"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605F8868" w14:textId="77777777" w:rsidTr="00E63813">
        <w:trPr>
          <w:trHeight w:val="304"/>
        </w:trPr>
        <w:tc>
          <w:tcPr>
            <w:tcW w:w="1304" w:type="dxa"/>
            <w:shd w:val="clear" w:color="auto" w:fill="auto"/>
            <w:noWrap/>
            <w:vAlign w:val="bottom"/>
            <w:hideMark/>
          </w:tcPr>
          <w:p w14:paraId="4A621D26"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5</w:t>
            </w:r>
          </w:p>
        </w:tc>
        <w:tc>
          <w:tcPr>
            <w:tcW w:w="10643" w:type="dxa"/>
            <w:shd w:val="clear" w:color="auto" w:fill="auto"/>
            <w:noWrap/>
            <w:vAlign w:val="bottom"/>
            <w:hideMark/>
          </w:tcPr>
          <w:p w14:paraId="310519A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Op het gebied van metadata kan de ICT-Oplossing aanvullende gegevens registreren, zoals hier opgenomen:</w:t>
            </w:r>
          </w:p>
        </w:tc>
        <w:tc>
          <w:tcPr>
            <w:tcW w:w="1231" w:type="dxa"/>
          </w:tcPr>
          <w:p w14:paraId="2BB666F3"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0F984A1A"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14551CA7" w14:textId="77777777" w:rsidTr="00E63813">
        <w:trPr>
          <w:trHeight w:val="304"/>
        </w:trPr>
        <w:tc>
          <w:tcPr>
            <w:tcW w:w="1304" w:type="dxa"/>
            <w:shd w:val="clear" w:color="auto" w:fill="auto"/>
            <w:noWrap/>
            <w:vAlign w:val="bottom"/>
            <w:hideMark/>
          </w:tcPr>
          <w:p w14:paraId="4C00EA21"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6</w:t>
            </w:r>
          </w:p>
        </w:tc>
        <w:tc>
          <w:tcPr>
            <w:tcW w:w="10643" w:type="dxa"/>
            <w:shd w:val="clear" w:color="auto" w:fill="auto"/>
            <w:noWrap/>
            <w:vAlign w:val="bottom"/>
            <w:hideMark/>
          </w:tcPr>
          <w:p w14:paraId="5A22C07D"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Tijdens de procesafhandeling van bijvoorbeeld een bouw- of een inritvergunning kan in het PVS een stap worden opgenomen waarbij een BAG- of een BGT-bericht (door middel van bijv. een geautomatiseerde mail) wordt gestuurd naar de betreffende beheerder bij een regiogemeente ter actualisatie van de basisregistratie.</w:t>
            </w:r>
          </w:p>
        </w:tc>
        <w:tc>
          <w:tcPr>
            <w:tcW w:w="1231" w:type="dxa"/>
          </w:tcPr>
          <w:p w14:paraId="023F66B6"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55540BCA"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38979505" w14:textId="77777777" w:rsidTr="00E63813">
        <w:trPr>
          <w:trHeight w:val="304"/>
        </w:trPr>
        <w:tc>
          <w:tcPr>
            <w:tcW w:w="1304" w:type="dxa"/>
            <w:shd w:val="clear" w:color="auto" w:fill="auto"/>
            <w:noWrap/>
            <w:vAlign w:val="bottom"/>
            <w:hideMark/>
          </w:tcPr>
          <w:p w14:paraId="2038FC1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7</w:t>
            </w:r>
          </w:p>
        </w:tc>
        <w:tc>
          <w:tcPr>
            <w:tcW w:w="10643" w:type="dxa"/>
            <w:shd w:val="clear" w:color="auto" w:fill="auto"/>
            <w:noWrap/>
            <w:vAlign w:val="bottom"/>
            <w:hideMark/>
          </w:tcPr>
          <w:p w14:paraId="452C2539"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vergunningverlener kan adviezen die extern worden afgehandeld via de ICT-Oplossing (en eventueel DSO-LV) uitzetten, volgen en weer ontvangen.</w:t>
            </w:r>
          </w:p>
        </w:tc>
        <w:tc>
          <w:tcPr>
            <w:tcW w:w="1231" w:type="dxa"/>
          </w:tcPr>
          <w:p w14:paraId="499CC2E3"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1DED6DBC"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797793FB" w14:textId="77777777" w:rsidTr="00E63813">
        <w:trPr>
          <w:trHeight w:val="304"/>
        </w:trPr>
        <w:tc>
          <w:tcPr>
            <w:tcW w:w="1304" w:type="dxa"/>
            <w:shd w:val="clear" w:color="auto" w:fill="auto"/>
            <w:noWrap/>
            <w:vAlign w:val="bottom"/>
            <w:hideMark/>
          </w:tcPr>
          <w:p w14:paraId="2A3CC4D9"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8</w:t>
            </w:r>
          </w:p>
        </w:tc>
        <w:tc>
          <w:tcPr>
            <w:tcW w:w="10643" w:type="dxa"/>
            <w:shd w:val="clear" w:color="auto" w:fill="auto"/>
            <w:noWrap/>
            <w:vAlign w:val="bottom"/>
            <w:hideMark/>
          </w:tcPr>
          <w:p w14:paraId="78587F1D"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biedt de mogelijkheid BIBOB informatie op te vragen en te verwerken.</w:t>
            </w:r>
          </w:p>
        </w:tc>
        <w:tc>
          <w:tcPr>
            <w:tcW w:w="1231" w:type="dxa"/>
          </w:tcPr>
          <w:p w14:paraId="761163E8"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1432BC89"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06574651" w14:textId="77777777" w:rsidTr="00E63813">
        <w:trPr>
          <w:trHeight w:val="304"/>
        </w:trPr>
        <w:tc>
          <w:tcPr>
            <w:tcW w:w="1304" w:type="dxa"/>
            <w:shd w:val="clear" w:color="auto" w:fill="auto"/>
            <w:noWrap/>
            <w:vAlign w:val="bottom"/>
            <w:hideMark/>
          </w:tcPr>
          <w:p w14:paraId="7B74F792"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9</w:t>
            </w:r>
          </w:p>
        </w:tc>
        <w:tc>
          <w:tcPr>
            <w:tcW w:w="10643" w:type="dxa"/>
            <w:shd w:val="clear" w:color="auto" w:fill="auto"/>
            <w:noWrap/>
            <w:vAlign w:val="bottom"/>
            <w:hideMark/>
          </w:tcPr>
          <w:p w14:paraId="514A91C0"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ondersteunt mogelijkheden om vervolgacties en monitoring in te plannen</w:t>
            </w:r>
          </w:p>
        </w:tc>
        <w:tc>
          <w:tcPr>
            <w:tcW w:w="1231" w:type="dxa"/>
          </w:tcPr>
          <w:p w14:paraId="34C65A60"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3885F6BB"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4D9B58A5" w14:textId="77777777" w:rsidTr="00E63813">
        <w:trPr>
          <w:trHeight w:val="304"/>
        </w:trPr>
        <w:tc>
          <w:tcPr>
            <w:tcW w:w="1304" w:type="dxa"/>
            <w:shd w:val="clear" w:color="auto" w:fill="auto"/>
            <w:noWrap/>
            <w:vAlign w:val="bottom"/>
            <w:hideMark/>
          </w:tcPr>
          <w:p w14:paraId="5D3157DB"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10</w:t>
            </w:r>
          </w:p>
        </w:tc>
        <w:tc>
          <w:tcPr>
            <w:tcW w:w="10643" w:type="dxa"/>
            <w:shd w:val="clear" w:color="auto" w:fill="auto"/>
            <w:noWrap/>
            <w:vAlign w:val="bottom"/>
            <w:hideMark/>
          </w:tcPr>
          <w:p w14:paraId="490462DF"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(Basis-)Gegevens over inrichtingen moeten ter plekken kunnen worden aangepast in de tablet en daarmee automatisch geregistreerd in de Objectregistratie.</w:t>
            </w:r>
          </w:p>
        </w:tc>
        <w:tc>
          <w:tcPr>
            <w:tcW w:w="1231" w:type="dxa"/>
          </w:tcPr>
          <w:p w14:paraId="4851D795"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06C84F6A"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727C35BF" w14:textId="77777777" w:rsidTr="00E63813">
        <w:trPr>
          <w:trHeight w:val="304"/>
        </w:trPr>
        <w:tc>
          <w:tcPr>
            <w:tcW w:w="1304" w:type="dxa"/>
            <w:shd w:val="clear" w:color="auto" w:fill="auto"/>
            <w:noWrap/>
            <w:vAlign w:val="bottom"/>
            <w:hideMark/>
          </w:tcPr>
          <w:p w14:paraId="5BA48230"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11</w:t>
            </w:r>
          </w:p>
        </w:tc>
        <w:tc>
          <w:tcPr>
            <w:tcW w:w="10643" w:type="dxa"/>
            <w:shd w:val="clear" w:color="auto" w:fill="auto"/>
            <w:noWrap/>
            <w:vAlign w:val="bottom"/>
            <w:hideMark/>
          </w:tcPr>
          <w:p w14:paraId="512359E2"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Controlelijsten zijn ‘slim’ en/of te filteren, bijv. op basis van de activiteiten van een bedrijf komen de juiste vragen (als eerste) naar voren en hoeft niet een volledige lijst te worden doorlopen.</w:t>
            </w:r>
          </w:p>
        </w:tc>
        <w:tc>
          <w:tcPr>
            <w:tcW w:w="1231" w:type="dxa"/>
          </w:tcPr>
          <w:p w14:paraId="543C02E6"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1D481C8E"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18BFB8E3" w14:textId="77777777" w:rsidTr="00E63813">
        <w:trPr>
          <w:trHeight w:val="304"/>
        </w:trPr>
        <w:tc>
          <w:tcPr>
            <w:tcW w:w="1304" w:type="dxa"/>
            <w:shd w:val="clear" w:color="auto" w:fill="auto"/>
            <w:noWrap/>
            <w:vAlign w:val="bottom"/>
            <w:hideMark/>
          </w:tcPr>
          <w:p w14:paraId="2226C923"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12</w:t>
            </w:r>
          </w:p>
        </w:tc>
        <w:tc>
          <w:tcPr>
            <w:tcW w:w="10643" w:type="dxa"/>
            <w:shd w:val="clear" w:color="auto" w:fill="auto"/>
            <w:noWrap/>
            <w:vAlign w:val="bottom"/>
            <w:hideMark/>
          </w:tcPr>
          <w:p w14:paraId="44FF1B28"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Objectregistratie kent ook een status om informatie (vanuit derde systemen) te verwerken die niet via het ‘reguliere’ VTH proces binnenkomt. In het PVS kunnen dergelijk informatiestromen als een eenvoudige toezichtszaak (geautomatiseerd) verwerkt en daarmee gearchiveerd worden.</w:t>
            </w:r>
          </w:p>
        </w:tc>
        <w:tc>
          <w:tcPr>
            <w:tcW w:w="1231" w:type="dxa"/>
          </w:tcPr>
          <w:p w14:paraId="09C1A666"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65195ADD"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002D7134" w14:textId="77777777" w:rsidTr="00E63813">
        <w:trPr>
          <w:trHeight w:val="304"/>
        </w:trPr>
        <w:tc>
          <w:tcPr>
            <w:tcW w:w="1304" w:type="dxa"/>
            <w:shd w:val="clear" w:color="auto" w:fill="auto"/>
            <w:noWrap/>
            <w:vAlign w:val="bottom"/>
            <w:hideMark/>
          </w:tcPr>
          <w:p w14:paraId="0E24A5D3"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13</w:t>
            </w:r>
          </w:p>
        </w:tc>
        <w:tc>
          <w:tcPr>
            <w:tcW w:w="10643" w:type="dxa"/>
            <w:shd w:val="clear" w:color="auto" w:fill="auto"/>
            <w:noWrap/>
            <w:vAlign w:val="bottom"/>
            <w:hideMark/>
          </w:tcPr>
          <w:p w14:paraId="2EFA3C76"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Voor wat betreft zaakgerelateerde informatie volgt de Objectregistratie het gekoppelde PVS en het Zaaksysteem/DMS-RMA ten behoeve van documentmanagement en archieffunctionaliteit.</w:t>
            </w:r>
          </w:p>
        </w:tc>
        <w:tc>
          <w:tcPr>
            <w:tcW w:w="1231" w:type="dxa"/>
          </w:tcPr>
          <w:p w14:paraId="50EE462B"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6006CE83"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340F5B41" w14:textId="77777777" w:rsidTr="00E63813">
        <w:trPr>
          <w:trHeight w:val="304"/>
        </w:trPr>
        <w:tc>
          <w:tcPr>
            <w:tcW w:w="1304" w:type="dxa"/>
            <w:shd w:val="clear" w:color="auto" w:fill="auto"/>
            <w:noWrap/>
            <w:vAlign w:val="bottom"/>
            <w:hideMark/>
          </w:tcPr>
          <w:p w14:paraId="6A5C83CC"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lastRenderedPageBreak/>
              <w:t>Wens 14</w:t>
            </w:r>
          </w:p>
        </w:tc>
        <w:tc>
          <w:tcPr>
            <w:tcW w:w="10643" w:type="dxa"/>
            <w:shd w:val="clear" w:color="auto" w:fill="auto"/>
            <w:noWrap/>
            <w:vAlign w:val="bottom"/>
            <w:hideMark/>
          </w:tcPr>
          <w:p w14:paraId="7A3913E1"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Ten behoeve van de gegevenskwaliteit kan de Objectregistratie in bulk gegevens verifiëren en hierover rapporteren en benodigde correcties voorbereiden.  Voorbeeld: voor alle locaties van een industrieterrein in één keer de NHR- en BAG-gegevens checken, eventueel in combinatie met een bulkcontrole (‘gevelcontroles’) via (mobiel) toezicht. Afwijkingen kunnen vervolgens administratief, en mogelijk ook zaakgericht, verwerkt worden.</w:t>
            </w:r>
          </w:p>
        </w:tc>
        <w:tc>
          <w:tcPr>
            <w:tcW w:w="1231" w:type="dxa"/>
          </w:tcPr>
          <w:p w14:paraId="7ABCA71B"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3263A721"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700879B3" w14:textId="77777777" w:rsidTr="00E63813">
        <w:trPr>
          <w:trHeight w:val="304"/>
        </w:trPr>
        <w:tc>
          <w:tcPr>
            <w:tcW w:w="1304" w:type="dxa"/>
            <w:shd w:val="clear" w:color="auto" w:fill="auto"/>
            <w:noWrap/>
            <w:vAlign w:val="bottom"/>
            <w:hideMark/>
          </w:tcPr>
          <w:p w14:paraId="4C2CA447"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15</w:t>
            </w:r>
          </w:p>
        </w:tc>
        <w:tc>
          <w:tcPr>
            <w:tcW w:w="10643" w:type="dxa"/>
            <w:shd w:val="clear" w:color="auto" w:fill="auto"/>
            <w:noWrap/>
            <w:vAlign w:val="bottom"/>
            <w:hideMark/>
          </w:tcPr>
          <w:p w14:paraId="67A72590"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Objectregistratie biedt een logische registratiewijze van objecten (inrichting – activiteiten – voorzieningen) en sluit hierbij in de toekomst aan op de wijze van registratie onder de Omgevingswet/DSO en/of een nog te ontwikkelen landelijke standaard.</w:t>
            </w:r>
          </w:p>
        </w:tc>
        <w:tc>
          <w:tcPr>
            <w:tcW w:w="1231" w:type="dxa"/>
          </w:tcPr>
          <w:p w14:paraId="1258E320"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770E05FC"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35645079" w14:textId="77777777" w:rsidTr="00E63813">
        <w:trPr>
          <w:trHeight w:val="304"/>
        </w:trPr>
        <w:tc>
          <w:tcPr>
            <w:tcW w:w="1304" w:type="dxa"/>
            <w:shd w:val="clear" w:color="auto" w:fill="auto"/>
            <w:noWrap/>
            <w:vAlign w:val="bottom"/>
            <w:hideMark/>
          </w:tcPr>
          <w:p w14:paraId="1031AA43"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16</w:t>
            </w:r>
          </w:p>
        </w:tc>
        <w:tc>
          <w:tcPr>
            <w:tcW w:w="10643" w:type="dxa"/>
            <w:shd w:val="clear" w:color="auto" w:fill="auto"/>
            <w:noWrap/>
            <w:vAlign w:val="bottom"/>
            <w:hideMark/>
          </w:tcPr>
          <w:p w14:paraId="5C5D84E9"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zal alle binnen de ICT-Oplossing bijgehouden objectgegevens waarvoor een Opdrachtgever formeel bronhouder is, als Informatieproduct leveren aan het Digitaal stelsel Omgevingswet. De ICT-Oplossing zal alle gegevens die relevant zijn voor de uitoefening van de (wettelijke) taken van Opdrachtgevers als Informatieproducten betrekken uit het Digitaal Stelsel Omgevingswet.</w:t>
            </w:r>
          </w:p>
        </w:tc>
        <w:tc>
          <w:tcPr>
            <w:tcW w:w="1231" w:type="dxa"/>
          </w:tcPr>
          <w:p w14:paraId="0AC0BDCF"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1F3E558A"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2006891F" w14:textId="77777777" w:rsidTr="00E63813">
        <w:trPr>
          <w:trHeight w:val="304"/>
        </w:trPr>
        <w:tc>
          <w:tcPr>
            <w:tcW w:w="1304" w:type="dxa"/>
            <w:shd w:val="clear" w:color="auto" w:fill="auto"/>
            <w:noWrap/>
            <w:vAlign w:val="bottom"/>
            <w:hideMark/>
          </w:tcPr>
          <w:p w14:paraId="646FF46B"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17</w:t>
            </w:r>
          </w:p>
        </w:tc>
        <w:tc>
          <w:tcPr>
            <w:tcW w:w="10643" w:type="dxa"/>
            <w:shd w:val="clear" w:color="auto" w:fill="auto"/>
            <w:noWrap/>
            <w:vAlign w:val="bottom"/>
            <w:hideMark/>
          </w:tcPr>
          <w:p w14:paraId="36008B22"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In gevallen waarin een Opdrachtgever deze integratie met eigen functionaliteit, bijvoorbeeld met het eigen zaaksysteem, wenst te realiseren, ondersteunt de ICT-Oplossing deze integratie maximaal. Bijvoorbeeld door de inhoudelijke informatie die moet worden gepubliceerd, te genereren binnen de ICT-Oplossing en deze aan de component die de feitelijke publicatie verzorgt, beschikbaar te stellen.</w:t>
            </w:r>
          </w:p>
        </w:tc>
        <w:tc>
          <w:tcPr>
            <w:tcW w:w="1231" w:type="dxa"/>
          </w:tcPr>
          <w:p w14:paraId="4DE65E29"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19B71753"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52B802F5" w14:textId="77777777" w:rsidTr="00E63813">
        <w:trPr>
          <w:trHeight w:val="304"/>
        </w:trPr>
        <w:tc>
          <w:tcPr>
            <w:tcW w:w="1304" w:type="dxa"/>
            <w:shd w:val="clear" w:color="auto" w:fill="auto"/>
            <w:noWrap/>
            <w:vAlign w:val="bottom"/>
            <w:hideMark/>
          </w:tcPr>
          <w:p w14:paraId="35C7260E"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18</w:t>
            </w:r>
          </w:p>
        </w:tc>
        <w:tc>
          <w:tcPr>
            <w:tcW w:w="10643" w:type="dxa"/>
            <w:shd w:val="clear" w:color="auto" w:fill="auto"/>
            <w:noWrap/>
            <w:vAlign w:val="bottom"/>
            <w:hideMark/>
          </w:tcPr>
          <w:p w14:paraId="340BBEF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Koppelingen, al dan niet geautomatiseerd, naar overige informatiebronnen. Hetzij om gegevens in te zien, hetzij om gegevens over te halen naar de ICT-oplossing. Voorkeur is dat de gegevens bij de bronnen blijven.</w:t>
            </w:r>
          </w:p>
        </w:tc>
        <w:tc>
          <w:tcPr>
            <w:tcW w:w="1231" w:type="dxa"/>
          </w:tcPr>
          <w:p w14:paraId="41AA5922"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3F2A3ECD"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602CBABB" w14:textId="77777777" w:rsidTr="00E63813">
        <w:trPr>
          <w:trHeight w:val="304"/>
        </w:trPr>
        <w:tc>
          <w:tcPr>
            <w:tcW w:w="1304" w:type="dxa"/>
            <w:shd w:val="clear" w:color="auto" w:fill="auto"/>
            <w:noWrap/>
            <w:vAlign w:val="bottom"/>
            <w:hideMark/>
          </w:tcPr>
          <w:p w14:paraId="78564B97"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19</w:t>
            </w:r>
          </w:p>
        </w:tc>
        <w:tc>
          <w:tcPr>
            <w:tcW w:w="10643" w:type="dxa"/>
            <w:shd w:val="clear" w:color="auto" w:fill="auto"/>
            <w:noWrap/>
            <w:vAlign w:val="bottom"/>
            <w:hideMark/>
          </w:tcPr>
          <w:p w14:paraId="219ED0D9"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Koppelingen tussen Plan-/Toepasbare Regels-software en de ICT-oplossing.</w:t>
            </w:r>
          </w:p>
        </w:tc>
        <w:tc>
          <w:tcPr>
            <w:tcW w:w="1231" w:type="dxa"/>
          </w:tcPr>
          <w:p w14:paraId="64BEEB5F"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0B5893DA"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048F1CE7" w14:textId="77777777" w:rsidTr="00E63813">
        <w:trPr>
          <w:trHeight w:val="304"/>
        </w:trPr>
        <w:tc>
          <w:tcPr>
            <w:tcW w:w="1304" w:type="dxa"/>
            <w:shd w:val="clear" w:color="auto" w:fill="auto"/>
            <w:noWrap/>
            <w:vAlign w:val="bottom"/>
            <w:hideMark/>
          </w:tcPr>
          <w:p w14:paraId="2F047C0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20</w:t>
            </w:r>
          </w:p>
        </w:tc>
        <w:tc>
          <w:tcPr>
            <w:tcW w:w="10643" w:type="dxa"/>
            <w:shd w:val="clear" w:color="auto" w:fill="auto"/>
            <w:noWrap/>
            <w:vAlign w:val="bottom"/>
            <w:hideMark/>
          </w:tcPr>
          <w:p w14:paraId="5A1758E2"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maakt de gebruikers opmerkzaam op de verplicht te registreren gegevens, bijvoorbeeld door het hanteren van een andere kleur voor verplichte velden</w:t>
            </w:r>
          </w:p>
        </w:tc>
        <w:tc>
          <w:tcPr>
            <w:tcW w:w="1231" w:type="dxa"/>
          </w:tcPr>
          <w:p w14:paraId="4CB9BA5B"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0C2F1040"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47331B99" w14:textId="77777777" w:rsidTr="00E63813">
        <w:trPr>
          <w:trHeight w:val="304"/>
        </w:trPr>
        <w:tc>
          <w:tcPr>
            <w:tcW w:w="1304" w:type="dxa"/>
            <w:shd w:val="clear" w:color="auto" w:fill="auto"/>
            <w:noWrap/>
            <w:vAlign w:val="bottom"/>
            <w:hideMark/>
          </w:tcPr>
          <w:p w14:paraId="01547F7F"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21</w:t>
            </w:r>
          </w:p>
        </w:tc>
        <w:tc>
          <w:tcPr>
            <w:tcW w:w="10643" w:type="dxa"/>
            <w:shd w:val="clear" w:color="auto" w:fill="auto"/>
            <w:noWrap/>
            <w:vAlign w:val="bottom"/>
            <w:hideMark/>
          </w:tcPr>
          <w:p w14:paraId="21ABD9BF"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sorteert voor op deze toekomstige API ontwikkeling. Deze is ingericht uiterlijk in januari 2024.</w:t>
            </w:r>
          </w:p>
        </w:tc>
        <w:tc>
          <w:tcPr>
            <w:tcW w:w="1231" w:type="dxa"/>
          </w:tcPr>
          <w:p w14:paraId="58CD271D"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516267C0"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7FB2FA8E" w14:textId="77777777" w:rsidTr="00E63813">
        <w:trPr>
          <w:trHeight w:val="304"/>
        </w:trPr>
        <w:tc>
          <w:tcPr>
            <w:tcW w:w="1304" w:type="dxa"/>
            <w:shd w:val="clear" w:color="auto" w:fill="auto"/>
            <w:noWrap/>
            <w:vAlign w:val="bottom"/>
            <w:hideMark/>
          </w:tcPr>
          <w:p w14:paraId="0EB6972C"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22</w:t>
            </w:r>
          </w:p>
        </w:tc>
        <w:tc>
          <w:tcPr>
            <w:tcW w:w="10643" w:type="dxa"/>
            <w:shd w:val="clear" w:color="auto" w:fill="auto"/>
            <w:noWrap/>
            <w:vAlign w:val="bottom"/>
            <w:hideMark/>
          </w:tcPr>
          <w:p w14:paraId="0DD23D9E"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biedt mogelijkheden om, naast bekendmakingen e.d. op mijnoverheid.nl, ook beschikkingen en bijlagen extern digitaal te raadplegen.</w:t>
            </w:r>
          </w:p>
        </w:tc>
        <w:tc>
          <w:tcPr>
            <w:tcW w:w="1231" w:type="dxa"/>
          </w:tcPr>
          <w:p w14:paraId="55928694"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7141ADBC"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0ABD0BBD" w14:textId="77777777" w:rsidTr="00E63813">
        <w:trPr>
          <w:trHeight w:val="304"/>
        </w:trPr>
        <w:tc>
          <w:tcPr>
            <w:tcW w:w="1304" w:type="dxa"/>
            <w:shd w:val="clear" w:color="auto" w:fill="auto"/>
            <w:noWrap/>
            <w:vAlign w:val="bottom"/>
            <w:hideMark/>
          </w:tcPr>
          <w:p w14:paraId="10432422"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23</w:t>
            </w:r>
          </w:p>
        </w:tc>
        <w:tc>
          <w:tcPr>
            <w:tcW w:w="10643" w:type="dxa"/>
            <w:shd w:val="clear" w:color="auto" w:fill="auto"/>
            <w:noWrap/>
            <w:vAlign w:val="bottom"/>
            <w:hideMark/>
          </w:tcPr>
          <w:p w14:paraId="7ACDDA48"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De ICT-Oplossing ondersteunt op termijn (uiterlijk januari 2024)  de monitoringsfunctie in de Big-8 systematiek.</w:t>
            </w:r>
          </w:p>
        </w:tc>
        <w:tc>
          <w:tcPr>
            <w:tcW w:w="1231" w:type="dxa"/>
          </w:tcPr>
          <w:p w14:paraId="463BE342"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028A326C" w14:textId="77777777" w:rsidR="0064272A" w:rsidRPr="0064272A" w:rsidRDefault="000B5276" w:rsidP="0064272A">
            <w:pPr>
              <w:spacing w:after="0" w:line="240" w:lineRule="auto"/>
              <w:rPr>
                <w:rFonts w:ascii="Calibri" w:eastAsia="Times New Roman" w:hAnsi="Calibri" w:cs="Calibri"/>
                <w:color w:val="000000"/>
                <w:lang w:eastAsia="nl-NL"/>
              </w:rPr>
            </w:pPr>
            <w:r w:rsidRPr="0081443E">
              <w:rPr>
                <w:rFonts w:ascii="Calibri" w:eastAsia="Times New Roman" w:hAnsi="Calibri" w:cs="Calibri"/>
                <w:color w:val="FF0000"/>
                <w:lang w:eastAsia="nl-NL"/>
              </w:rPr>
              <w:t>Toelichting bijvoegen</w:t>
            </w:r>
          </w:p>
        </w:tc>
      </w:tr>
      <w:tr w:rsidR="0064272A" w:rsidRPr="0064272A" w14:paraId="021DDD1D" w14:textId="77777777" w:rsidTr="00E63813">
        <w:trPr>
          <w:trHeight w:val="304"/>
        </w:trPr>
        <w:tc>
          <w:tcPr>
            <w:tcW w:w="1304" w:type="dxa"/>
            <w:shd w:val="clear" w:color="auto" w:fill="auto"/>
            <w:noWrap/>
            <w:vAlign w:val="bottom"/>
            <w:hideMark/>
          </w:tcPr>
          <w:p w14:paraId="1178157A"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 xml:space="preserve">Wens 24  </w:t>
            </w:r>
          </w:p>
        </w:tc>
        <w:tc>
          <w:tcPr>
            <w:tcW w:w="10643" w:type="dxa"/>
            <w:shd w:val="clear" w:color="auto" w:fill="auto"/>
            <w:noWrap/>
            <w:vAlign w:val="bottom"/>
            <w:hideMark/>
          </w:tcPr>
          <w:p w14:paraId="46DC9C30"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Uw ICT-oplossing levert binnen een termijn van uiterlijk 24 maanden een bijdrage aan de ontwikkeling van lokaal en regionaal omgevingsbeleid, kijkend naar de doorontwikkeling van de Omgevingswet in combinatie met de mogelijkheden en roadmap van uw productielijn.</w:t>
            </w:r>
          </w:p>
        </w:tc>
        <w:tc>
          <w:tcPr>
            <w:tcW w:w="1231" w:type="dxa"/>
          </w:tcPr>
          <w:p w14:paraId="1860B4D8"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510684B4"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696C07BD" w14:textId="77777777" w:rsidTr="00E63813">
        <w:trPr>
          <w:trHeight w:val="304"/>
        </w:trPr>
        <w:tc>
          <w:tcPr>
            <w:tcW w:w="1304" w:type="dxa"/>
            <w:shd w:val="clear" w:color="auto" w:fill="auto"/>
            <w:noWrap/>
            <w:vAlign w:val="bottom"/>
            <w:hideMark/>
          </w:tcPr>
          <w:p w14:paraId="4EB84E57"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25</w:t>
            </w:r>
          </w:p>
        </w:tc>
        <w:tc>
          <w:tcPr>
            <w:tcW w:w="10643" w:type="dxa"/>
            <w:shd w:val="clear" w:color="auto" w:fill="auto"/>
            <w:noWrap/>
            <w:vAlign w:val="bottom"/>
            <w:hideMark/>
          </w:tcPr>
          <w:p w14:paraId="0FA25147"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U garandeert binnen een termijn van uiterlijk 24 maanden toe te groeien naar het Common Ground model. U kunt op verzoek een concreet plan overhandigen hoe u van de huidige situatie naar het Common Ground  model toewerkt, inclusief groeipad en planning.</w:t>
            </w:r>
          </w:p>
        </w:tc>
        <w:tc>
          <w:tcPr>
            <w:tcW w:w="1231" w:type="dxa"/>
          </w:tcPr>
          <w:p w14:paraId="6114C9F6"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7594D2E8" w14:textId="77777777" w:rsidR="0064272A" w:rsidRPr="0064272A" w:rsidRDefault="000B5276" w:rsidP="0064272A">
            <w:pPr>
              <w:spacing w:after="0" w:line="240" w:lineRule="auto"/>
              <w:rPr>
                <w:rFonts w:ascii="Calibri" w:eastAsia="Times New Roman" w:hAnsi="Calibri" w:cs="Calibri"/>
                <w:color w:val="000000"/>
                <w:lang w:eastAsia="nl-NL"/>
              </w:rPr>
            </w:pPr>
            <w:r w:rsidRPr="0081443E">
              <w:rPr>
                <w:rFonts w:ascii="Calibri" w:eastAsia="Times New Roman" w:hAnsi="Calibri" w:cs="Calibri"/>
                <w:color w:val="FF0000"/>
                <w:lang w:eastAsia="nl-NL"/>
              </w:rPr>
              <w:t>Toelichting bijvoegen</w:t>
            </w:r>
          </w:p>
        </w:tc>
      </w:tr>
      <w:tr w:rsidR="0064272A" w:rsidRPr="0064272A" w14:paraId="37FDBF97" w14:textId="77777777" w:rsidTr="00E63813">
        <w:trPr>
          <w:trHeight w:val="304"/>
        </w:trPr>
        <w:tc>
          <w:tcPr>
            <w:tcW w:w="1304" w:type="dxa"/>
            <w:shd w:val="clear" w:color="auto" w:fill="auto"/>
            <w:noWrap/>
            <w:vAlign w:val="bottom"/>
            <w:hideMark/>
          </w:tcPr>
          <w:p w14:paraId="7071C86E"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lastRenderedPageBreak/>
              <w:t>Wens 26</w:t>
            </w:r>
          </w:p>
        </w:tc>
        <w:tc>
          <w:tcPr>
            <w:tcW w:w="10643" w:type="dxa"/>
            <w:shd w:val="clear" w:color="auto" w:fill="auto"/>
            <w:noWrap/>
            <w:vAlign w:val="bottom"/>
            <w:hideMark/>
          </w:tcPr>
          <w:p w14:paraId="58231DF1"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U levert onderstaande toegevoegde waarde op het vlak van geavanceerde zoekmogelijkheden en de functies die u hierin ziet binnen de ICT-oplossing.</w:t>
            </w:r>
          </w:p>
        </w:tc>
        <w:tc>
          <w:tcPr>
            <w:tcW w:w="1231" w:type="dxa"/>
          </w:tcPr>
          <w:p w14:paraId="56409BAA"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07A09EEE" w14:textId="77777777" w:rsidR="0064272A" w:rsidRPr="0081443E" w:rsidRDefault="0081443E" w:rsidP="0064272A">
            <w:pPr>
              <w:spacing w:after="0" w:line="240" w:lineRule="auto"/>
              <w:rPr>
                <w:rFonts w:ascii="Calibri" w:eastAsia="Times New Roman" w:hAnsi="Calibri" w:cs="Calibri"/>
                <w:color w:val="FF0000"/>
                <w:lang w:eastAsia="nl-NL"/>
              </w:rPr>
            </w:pPr>
            <w:r w:rsidRPr="0081443E">
              <w:rPr>
                <w:rFonts w:ascii="Calibri" w:eastAsia="Times New Roman" w:hAnsi="Calibri" w:cs="Calibri"/>
                <w:color w:val="FF0000"/>
                <w:lang w:eastAsia="nl-NL"/>
              </w:rPr>
              <w:t>Toelichting bijvoegen</w:t>
            </w:r>
          </w:p>
        </w:tc>
      </w:tr>
      <w:tr w:rsidR="0064272A" w:rsidRPr="0064272A" w14:paraId="4523719E" w14:textId="77777777" w:rsidTr="00E63813">
        <w:trPr>
          <w:trHeight w:val="304"/>
        </w:trPr>
        <w:tc>
          <w:tcPr>
            <w:tcW w:w="1304" w:type="dxa"/>
            <w:shd w:val="clear" w:color="auto" w:fill="auto"/>
            <w:noWrap/>
            <w:vAlign w:val="bottom"/>
            <w:hideMark/>
          </w:tcPr>
          <w:p w14:paraId="1CABE75D"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27</w:t>
            </w:r>
          </w:p>
        </w:tc>
        <w:tc>
          <w:tcPr>
            <w:tcW w:w="10643" w:type="dxa"/>
            <w:shd w:val="clear" w:color="auto" w:fill="auto"/>
            <w:noWrap/>
            <w:vAlign w:val="bottom"/>
            <w:hideMark/>
          </w:tcPr>
          <w:p w14:paraId="09D796A8"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VTH029 Kunnen ophalen van gegevens / documenten uit de Archiefregistratiecomponent</w:t>
            </w:r>
          </w:p>
        </w:tc>
        <w:tc>
          <w:tcPr>
            <w:tcW w:w="1231" w:type="dxa"/>
          </w:tcPr>
          <w:p w14:paraId="2EBB6387"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65E60A3B"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162021DA" w14:textId="77777777" w:rsidTr="00E63813">
        <w:trPr>
          <w:trHeight w:val="304"/>
        </w:trPr>
        <w:tc>
          <w:tcPr>
            <w:tcW w:w="1304" w:type="dxa"/>
            <w:shd w:val="clear" w:color="auto" w:fill="auto"/>
            <w:noWrap/>
            <w:vAlign w:val="bottom"/>
            <w:hideMark/>
          </w:tcPr>
          <w:p w14:paraId="7BCAA1B9"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28</w:t>
            </w:r>
          </w:p>
        </w:tc>
        <w:tc>
          <w:tcPr>
            <w:tcW w:w="10643" w:type="dxa"/>
            <w:shd w:val="clear" w:color="auto" w:fill="auto"/>
            <w:noWrap/>
            <w:vAlign w:val="bottom"/>
            <w:hideMark/>
          </w:tcPr>
          <w:p w14:paraId="27AB228E"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VTH033 Kunnen bevragen van gegevens in de financieel component</w:t>
            </w:r>
          </w:p>
        </w:tc>
        <w:tc>
          <w:tcPr>
            <w:tcW w:w="1231" w:type="dxa"/>
          </w:tcPr>
          <w:p w14:paraId="6B596E3C"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60E6ED07"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66E393B1" w14:textId="77777777" w:rsidTr="00E63813">
        <w:trPr>
          <w:trHeight w:val="304"/>
        </w:trPr>
        <w:tc>
          <w:tcPr>
            <w:tcW w:w="1304" w:type="dxa"/>
            <w:shd w:val="clear" w:color="auto" w:fill="auto"/>
            <w:noWrap/>
            <w:vAlign w:val="bottom"/>
            <w:hideMark/>
          </w:tcPr>
          <w:p w14:paraId="69BF68C8"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29</w:t>
            </w:r>
          </w:p>
        </w:tc>
        <w:tc>
          <w:tcPr>
            <w:tcW w:w="10643" w:type="dxa"/>
            <w:shd w:val="clear" w:color="auto" w:fill="auto"/>
            <w:noWrap/>
            <w:vAlign w:val="bottom"/>
            <w:hideMark/>
          </w:tcPr>
          <w:p w14:paraId="6F23B086"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VTH035 Kunnen aanbieden van gegevens aan het data-analyse en monitoringcomponent</w:t>
            </w:r>
          </w:p>
        </w:tc>
        <w:tc>
          <w:tcPr>
            <w:tcW w:w="1231" w:type="dxa"/>
          </w:tcPr>
          <w:p w14:paraId="4737E5C9"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46773972"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6FA0FEDB" w14:textId="77777777" w:rsidTr="00E63813">
        <w:trPr>
          <w:trHeight w:val="304"/>
        </w:trPr>
        <w:tc>
          <w:tcPr>
            <w:tcW w:w="1304" w:type="dxa"/>
            <w:shd w:val="clear" w:color="auto" w:fill="auto"/>
            <w:noWrap/>
            <w:vAlign w:val="bottom"/>
            <w:hideMark/>
          </w:tcPr>
          <w:p w14:paraId="43A5DFDE"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30</w:t>
            </w:r>
          </w:p>
        </w:tc>
        <w:tc>
          <w:tcPr>
            <w:tcW w:w="10643" w:type="dxa"/>
            <w:shd w:val="clear" w:color="auto" w:fill="auto"/>
            <w:noWrap/>
            <w:vAlign w:val="bottom"/>
            <w:hideMark/>
          </w:tcPr>
          <w:p w14:paraId="4D8A1712"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VTH045 Kunnen vastleggen van resultaten van inhoudelijke toetsing van de activiteiten</w:t>
            </w:r>
          </w:p>
        </w:tc>
        <w:tc>
          <w:tcPr>
            <w:tcW w:w="1231" w:type="dxa"/>
          </w:tcPr>
          <w:p w14:paraId="45A3FC0F"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3F09A237"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4B2F8624" w14:textId="77777777" w:rsidTr="00E63813">
        <w:trPr>
          <w:trHeight w:val="304"/>
        </w:trPr>
        <w:tc>
          <w:tcPr>
            <w:tcW w:w="1304" w:type="dxa"/>
            <w:shd w:val="clear" w:color="auto" w:fill="auto"/>
            <w:noWrap/>
            <w:vAlign w:val="bottom"/>
            <w:hideMark/>
          </w:tcPr>
          <w:p w14:paraId="0E5E0076"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31</w:t>
            </w:r>
          </w:p>
        </w:tc>
        <w:tc>
          <w:tcPr>
            <w:tcW w:w="10643" w:type="dxa"/>
            <w:shd w:val="clear" w:color="auto" w:fill="auto"/>
            <w:noWrap/>
            <w:vAlign w:val="bottom"/>
            <w:hideMark/>
          </w:tcPr>
          <w:p w14:paraId="47446DBB"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VTH046 Kunnen laten accorderen van de concept beschikking</w:t>
            </w:r>
          </w:p>
        </w:tc>
        <w:tc>
          <w:tcPr>
            <w:tcW w:w="1231" w:type="dxa"/>
          </w:tcPr>
          <w:p w14:paraId="273287FC"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58979B59"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1F5422F9" w14:textId="77777777" w:rsidTr="00E63813">
        <w:trPr>
          <w:trHeight w:val="304"/>
        </w:trPr>
        <w:tc>
          <w:tcPr>
            <w:tcW w:w="1304" w:type="dxa"/>
            <w:shd w:val="clear" w:color="auto" w:fill="auto"/>
            <w:noWrap/>
            <w:vAlign w:val="bottom"/>
            <w:hideMark/>
          </w:tcPr>
          <w:p w14:paraId="7939E0A0"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32</w:t>
            </w:r>
          </w:p>
        </w:tc>
        <w:tc>
          <w:tcPr>
            <w:tcW w:w="10643" w:type="dxa"/>
            <w:shd w:val="clear" w:color="auto" w:fill="auto"/>
            <w:noWrap/>
            <w:vAlign w:val="bottom"/>
            <w:hideMark/>
          </w:tcPr>
          <w:p w14:paraId="3C6B5A41"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VTH054 Kunnen aangeven van een risicoprofiel</w:t>
            </w:r>
          </w:p>
        </w:tc>
        <w:tc>
          <w:tcPr>
            <w:tcW w:w="1231" w:type="dxa"/>
          </w:tcPr>
          <w:p w14:paraId="7D723A77"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2239D2AE"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11D1B6E1" w14:textId="77777777" w:rsidTr="00E63813">
        <w:trPr>
          <w:trHeight w:val="304"/>
        </w:trPr>
        <w:tc>
          <w:tcPr>
            <w:tcW w:w="1304" w:type="dxa"/>
            <w:shd w:val="clear" w:color="auto" w:fill="auto"/>
            <w:noWrap/>
            <w:vAlign w:val="bottom"/>
            <w:hideMark/>
          </w:tcPr>
          <w:p w14:paraId="79CE620D"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33</w:t>
            </w:r>
          </w:p>
        </w:tc>
        <w:tc>
          <w:tcPr>
            <w:tcW w:w="10643" w:type="dxa"/>
            <w:shd w:val="clear" w:color="auto" w:fill="auto"/>
            <w:noWrap/>
            <w:vAlign w:val="bottom"/>
            <w:hideMark/>
          </w:tcPr>
          <w:p w14:paraId="7D948461"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VTH061 Kunnen ondersteunen in het maken van een integrale afweging op basis van verzamelde adviezen</w:t>
            </w:r>
          </w:p>
        </w:tc>
        <w:tc>
          <w:tcPr>
            <w:tcW w:w="1231" w:type="dxa"/>
          </w:tcPr>
          <w:p w14:paraId="45A78096"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45FCE45E"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64272A" w:rsidRPr="0064272A" w14:paraId="5D8D5578" w14:textId="77777777" w:rsidTr="00A73F54">
        <w:trPr>
          <w:trHeight w:val="304"/>
        </w:trPr>
        <w:tc>
          <w:tcPr>
            <w:tcW w:w="1304" w:type="dxa"/>
            <w:shd w:val="clear" w:color="auto" w:fill="auto"/>
            <w:noWrap/>
            <w:vAlign w:val="bottom"/>
            <w:hideMark/>
          </w:tcPr>
          <w:p w14:paraId="35618937" w14:textId="77777777" w:rsidR="0064272A" w:rsidRPr="0064272A" w:rsidRDefault="0064272A" w:rsidP="0064272A">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34</w:t>
            </w:r>
          </w:p>
        </w:tc>
        <w:tc>
          <w:tcPr>
            <w:tcW w:w="10643" w:type="dxa"/>
            <w:shd w:val="clear" w:color="auto" w:fill="auto"/>
            <w:noWrap/>
            <w:vAlign w:val="bottom"/>
          </w:tcPr>
          <w:p w14:paraId="79D9D4A6" w14:textId="7814B92C" w:rsidR="0064272A" w:rsidRPr="0064272A" w:rsidRDefault="00A73F54" w:rsidP="0064272A">
            <w:pPr>
              <w:spacing w:after="0" w:line="240" w:lineRule="auto"/>
              <w:rPr>
                <w:rFonts w:ascii="Calibri" w:eastAsia="Times New Roman" w:hAnsi="Calibri" w:cs="Calibri"/>
                <w:color w:val="000000"/>
                <w:lang w:eastAsia="nl-NL"/>
              </w:rPr>
            </w:pPr>
            <w:r>
              <w:rPr>
                <w:rFonts w:ascii="Calibri" w:eastAsia="Times New Roman" w:hAnsi="Calibri" w:cs="Calibri"/>
                <w:color w:val="000000"/>
                <w:lang w:eastAsia="nl-NL"/>
              </w:rPr>
              <w:t>VTH</w:t>
            </w:r>
            <w:r w:rsidR="00C54C2D">
              <w:rPr>
                <w:rFonts w:ascii="Calibri" w:eastAsia="Times New Roman" w:hAnsi="Calibri" w:cs="Calibri"/>
                <w:color w:val="000000"/>
                <w:lang w:eastAsia="nl-NL"/>
              </w:rPr>
              <w:t>06</w:t>
            </w:r>
            <w:r w:rsidR="00A96570">
              <w:rPr>
                <w:rFonts w:ascii="Calibri" w:eastAsia="Times New Roman" w:hAnsi="Calibri" w:cs="Calibri"/>
                <w:color w:val="000000"/>
                <w:lang w:eastAsia="nl-NL"/>
              </w:rPr>
              <w:t xml:space="preserve">4 Kunnen opstellen </w:t>
            </w:r>
            <w:r w:rsidR="00006ADA">
              <w:rPr>
                <w:rFonts w:ascii="Calibri" w:eastAsia="Times New Roman" w:hAnsi="Calibri" w:cs="Calibri"/>
                <w:color w:val="000000"/>
                <w:lang w:eastAsia="nl-NL"/>
              </w:rPr>
              <w:t>van een toetsingsdocument</w:t>
            </w:r>
            <w:bookmarkStart w:id="0" w:name="_GoBack"/>
            <w:bookmarkEnd w:id="0"/>
          </w:p>
        </w:tc>
        <w:tc>
          <w:tcPr>
            <w:tcW w:w="1231" w:type="dxa"/>
          </w:tcPr>
          <w:p w14:paraId="34BFE40F" w14:textId="77777777" w:rsidR="0064272A" w:rsidRPr="0064272A" w:rsidRDefault="00E63813" w:rsidP="0064272A">
            <w:pPr>
              <w:spacing w:after="0" w:line="240" w:lineRule="auto"/>
              <w:rPr>
                <w:rFonts w:ascii="Calibri" w:eastAsia="Times New Roman" w:hAnsi="Calibri" w:cs="Calibri"/>
                <w:color w:val="000000"/>
                <w:lang w:eastAsia="nl-NL"/>
              </w:rPr>
            </w:pPr>
            <w:r>
              <w:t>Ja/Nee</w:t>
            </w:r>
          </w:p>
        </w:tc>
        <w:tc>
          <w:tcPr>
            <w:tcW w:w="1843" w:type="dxa"/>
          </w:tcPr>
          <w:p w14:paraId="409CE1C0" w14:textId="77777777" w:rsidR="0064272A" w:rsidRPr="0064272A" w:rsidRDefault="0064272A" w:rsidP="0064272A">
            <w:pPr>
              <w:spacing w:after="0" w:line="240" w:lineRule="auto"/>
              <w:rPr>
                <w:rFonts w:ascii="Calibri" w:eastAsia="Times New Roman" w:hAnsi="Calibri" w:cs="Calibri"/>
                <w:color w:val="000000"/>
                <w:lang w:eastAsia="nl-NL"/>
              </w:rPr>
            </w:pPr>
          </w:p>
        </w:tc>
      </w:tr>
      <w:tr w:rsidR="00A73F54" w:rsidRPr="0064272A" w14:paraId="30E8BCB0" w14:textId="77777777" w:rsidTr="00A73F54">
        <w:trPr>
          <w:trHeight w:val="304"/>
        </w:trPr>
        <w:tc>
          <w:tcPr>
            <w:tcW w:w="1304" w:type="dxa"/>
            <w:shd w:val="clear" w:color="auto" w:fill="auto"/>
            <w:noWrap/>
            <w:vAlign w:val="bottom"/>
            <w:hideMark/>
          </w:tcPr>
          <w:p w14:paraId="1214CAD1"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35</w:t>
            </w:r>
          </w:p>
        </w:tc>
        <w:tc>
          <w:tcPr>
            <w:tcW w:w="10643" w:type="dxa"/>
            <w:shd w:val="clear" w:color="auto" w:fill="auto"/>
            <w:noWrap/>
            <w:vAlign w:val="bottom"/>
          </w:tcPr>
          <w:p w14:paraId="42B56ED2" w14:textId="4A27D4A0"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VTH069 Kunnen vastleggen van afspraken met ketenpartners</w:t>
            </w:r>
          </w:p>
        </w:tc>
        <w:tc>
          <w:tcPr>
            <w:tcW w:w="1231" w:type="dxa"/>
          </w:tcPr>
          <w:p w14:paraId="45693F49"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71ADBAEB"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2C493D57" w14:textId="77777777" w:rsidTr="00A73F54">
        <w:trPr>
          <w:trHeight w:val="304"/>
        </w:trPr>
        <w:tc>
          <w:tcPr>
            <w:tcW w:w="1304" w:type="dxa"/>
            <w:shd w:val="clear" w:color="auto" w:fill="auto"/>
            <w:noWrap/>
            <w:vAlign w:val="bottom"/>
            <w:hideMark/>
          </w:tcPr>
          <w:p w14:paraId="6B9B7464"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36</w:t>
            </w:r>
          </w:p>
        </w:tc>
        <w:tc>
          <w:tcPr>
            <w:tcW w:w="10643" w:type="dxa"/>
            <w:shd w:val="clear" w:color="auto" w:fill="auto"/>
            <w:noWrap/>
            <w:vAlign w:val="bottom"/>
          </w:tcPr>
          <w:p w14:paraId="45CD12F8" w14:textId="7514E00E"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VTH070 Kunnen vastleggen van samenhang met andere procedures/besluitvorming</w:t>
            </w:r>
          </w:p>
        </w:tc>
        <w:tc>
          <w:tcPr>
            <w:tcW w:w="1231" w:type="dxa"/>
          </w:tcPr>
          <w:p w14:paraId="675D8AA2"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0A9C6131"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0B37DA79" w14:textId="77777777" w:rsidTr="00A73F54">
        <w:trPr>
          <w:trHeight w:val="304"/>
        </w:trPr>
        <w:tc>
          <w:tcPr>
            <w:tcW w:w="1304" w:type="dxa"/>
            <w:shd w:val="clear" w:color="auto" w:fill="auto"/>
            <w:noWrap/>
            <w:vAlign w:val="bottom"/>
            <w:hideMark/>
          </w:tcPr>
          <w:p w14:paraId="10C2F059"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37</w:t>
            </w:r>
          </w:p>
        </w:tc>
        <w:tc>
          <w:tcPr>
            <w:tcW w:w="10643" w:type="dxa"/>
            <w:shd w:val="clear" w:color="auto" w:fill="auto"/>
            <w:noWrap/>
            <w:vAlign w:val="bottom"/>
          </w:tcPr>
          <w:p w14:paraId="218B5396" w14:textId="3CE46270"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VTH072 Kunnen genereren van management rapportages</w:t>
            </w:r>
          </w:p>
        </w:tc>
        <w:tc>
          <w:tcPr>
            <w:tcW w:w="1231" w:type="dxa"/>
          </w:tcPr>
          <w:p w14:paraId="79125F61"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50E20DCA"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1CD93F03" w14:textId="77777777" w:rsidTr="00A73F54">
        <w:trPr>
          <w:trHeight w:val="304"/>
        </w:trPr>
        <w:tc>
          <w:tcPr>
            <w:tcW w:w="1304" w:type="dxa"/>
            <w:shd w:val="clear" w:color="auto" w:fill="auto"/>
            <w:noWrap/>
            <w:vAlign w:val="bottom"/>
            <w:hideMark/>
          </w:tcPr>
          <w:p w14:paraId="78C5107F"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38</w:t>
            </w:r>
          </w:p>
        </w:tc>
        <w:tc>
          <w:tcPr>
            <w:tcW w:w="10643" w:type="dxa"/>
            <w:shd w:val="clear" w:color="auto" w:fill="auto"/>
            <w:noWrap/>
            <w:vAlign w:val="bottom"/>
          </w:tcPr>
          <w:p w14:paraId="3B16CF59" w14:textId="20A1252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VTH073 Kunnen samenstellen van eigen rapportages</w:t>
            </w:r>
          </w:p>
        </w:tc>
        <w:tc>
          <w:tcPr>
            <w:tcW w:w="1231" w:type="dxa"/>
          </w:tcPr>
          <w:p w14:paraId="751D62DE"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0366E12D"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0D81B624" w14:textId="77777777" w:rsidTr="00A73F54">
        <w:trPr>
          <w:trHeight w:val="304"/>
        </w:trPr>
        <w:tc>
          <w:tcPr>
            <w:tcW w:w="1304" w:type="dxa"/>
            <w:shd w:val="clear" w:color="auto" w:fill="auto"/>
            <w:noWrap/>
            <w:vAlign w:val="bottom"/>
            <w:hideMark/>
          </w:tcPr>
          <w:p w14:paraId="55530A64"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39</w:t>
            </w:r>
          </w:p>
        </w:tc>
        <w:tc>
          <w:tcPr>
            <w:tcW w:w="10643" w:type="dxa"/>
            <w:shd w:val="clear" w:color="auto" w:fill="auto"/>
            <w:noWrap/>
            <w:vAlign w:val="bottom"/>
          </w:tcPr>
          <w:p w14:paraId="6DC26FEC" w14:textId="611B0110"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VTH075 Kunnen inplannen van werkzaamheden</w:t>
            </w:r>
          </w:p>
        </w:tc>
        <w:tc>
          <w:tcPr>
            <w:tcW w:w="1231" w:type="dxa"/>
          </w:tcPr>
          <w:p w14:paraId="574CA985"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331025AA"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0EC4E1B6" w14:textId="77777777" w:rsidTr="00A73F54">
        <w:trPr>
          <w:trHeight w:val="304"/>
        </w:trPr>
        <w:tc>
          <w:tcPr>
            <w:tcW w:w="1304" w:type="dxa"/>
            <w:shd w:val="clear" w:color="auto" w:fill="auto"/>
            <w:noWrap/>
            <w:vAlign w:val="bottom"/>
            <w:hideMark/>
          </w:tcPr>
          <w:p w14:paraId="44352C37"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40</w:t>
            </w:r>
          </w:p>
        </w:tc>
        <w:tc>
          <w:tcPr>
            <w:tcW w:w="10643" w:type="dxa"/>
            <w:shd w:val="clear" w:color="auto" w:fill="auto"/>
            <w:noWrap/>
            <w:vAlign w:val="bottom"/>
          </w:tcPr>
          <w:p w14:paraId="46EE091B" w14:textId="6404AFFB"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VTH089 Kunnen aanvragen van intern advies</w:t>
            </w:r>
          </w:p>
        </w:tc>
        <w:tc>
          <w:tcPr>
            <w:tcW w:w="1231" w:type="dxa"/>
          </w:tcPr>
          <w:p w14:paraId="34E02375"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15BD0065"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209C0E7B" w14:textId="77777777" w:rsidTr="00A73F54">
        <w:trPr>
          <w:trHeight w:val="304"/>
        </w:trPr>
        <w:tc>
          <w:tcPr>
            <w:tcW w:w="1304" w:type="dxa"/>
            <w:shd w:val="clear" w:color="auto" w:fill="auto"/>
            <w:noWrap/>
            <w:vAlign w:val="bottom"/>
            <w:hideMark/>
          </w:tcPr>
          <w:p w14:paraId="3213AD61"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41</w:t>
            </w:r>
          </w:p>
        </w:tc>
        <w:tc>
          <w:tcPr>
            <w:tcW w:w="10643" w:type="dxa"/>
            <w:shd w:val="clear" w:color="auto" w:fill="auto"/>
            <w:noWrap/>
            <w:vAlign w:val="bottom"/>
          </w:tcPr>
          <w:p w14:paraId="37EF26CC" w14:textId="22E022FA"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VTH096 Kunnen werken op basis van de interbestuurlijke ZTC-Omgevingswet</w:t>
            </w:r>
          </w:p>
        </w:tc>
        <w:tc>
          <w:tcPr>
            <w:tcW w:w="1231" w:type="dxa"/>
          </w:tcPr>
          <w:p w14:paraId="6CB041AA"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40D403A1"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067BC154" w14:textId="77777777" w:rsidTr="00A73F54">
        <w:trPr>
          <w:trHeight w:val="304"/>
        </w:trPr>
        <w:tc>
          <w:tcPr>
            <w:tcW w:w="1304" w:type="dxa"/>
            <w:shd w:val="clear" w:color="auto" w:fill="auto"/>
            <w:noWrap/>
            <w:vAlign w:val="bottom"/>
            <w:hideMark/>
          </w:tcPr>
          <w:p w14:paraId="1DE45A1B"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42</w:t>
            </w:r>
          </w:p>
        </w:tc>
        <w:tc>
          <w:tcPr>
            <w:tcW w:w="10643" w:type="dxa"/>
            <w:shd w:val="clear" w:color="auto" w:fill="auto"/>
            <w:noWrap/>
            <w:vAlign w:val="bottom"/>
          </w:tcPr>
          <w:p w14:paraId="5C6173FB" w14:textId="0BAA8ECA"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VTH100 Kunnen opvragen, toevoegen, wijzigen, verwijderen van rechten op documenten in een Samenwerking in de Samenwerkfunctionaliteit van het DSO-LV</w:t>
            </w:r>
          </w:p>
        </w:tc>
        <w:tc>
          <w:tcPr>
            <w:tcW w:w="1231" w:type="dxa"/>
          </w:tcPr>
          <w:p w14:paraId="21AB4A8A"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43574841"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6559EC0E" w14:textId="77777777" w:rsidTr="00A73F54">
        <w:trPr>
          <w:trHeight w:val="304"/>
        </w:trPr>
        <w:tc>
          <w:tcPr>
            <w:tcW w:w="1304" w:type="dxa"/>
            <w:shd w:val="clear" w:color="auto" w:fill="auto"/>
            <w:noWrap/>
            <w:vAlign w:val="bottom"/>
            <w:hideMark/>
          </w:tcPr>
          <w:p w14:paraId="54B47394"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43</w:t>
            </w:r>
          </w:p>
        </w:tc>
        <w:tc>
          <w:tcPr>
            <w:tcW w:w="10643" w:type="dxa"/>
            <w:shd w:val="clear" w:color="auto" w:fill="auto"/>
            <w:noWrap/>
            <w:vAlign w:val="bottom"/>
          </w:tcPr>
          <w:p w14:paraId="29C2DA38" w14:textId="2934972D"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VTH102 Kunnen versturen van notificaties aan andere systemen als er gegevens in het VTH-systeem zijn gewijzigd</w:t>
            </w:r>
          </w:p>
        </w:tc>
        <w:tc>
          <w:tcPr>
            <w:tcW w:w="1231" w:type="dxa"/>
          </w:tcPr>
          <w:p w14:paraId="333A6DF0"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639850A0"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69039E91" w14:textId="77777777" w:rsidTr="00A73F54">
        <w:trPr>
          <w:trHeight w:val="304"/>
        </w:trPr>
        <w:tc>
          <w:tcPr>
            <w:tcW w:w="1304" w:type="dxa"/>
            <w:shd w:val="clear" w:color="auto" w:fill="auto"/>
            <w:noWrap/>
            <w:vAlign w:val="bottom"/>
            <w:hideMark/>
          </w:tcPr>
          <w:p w14:paraId="45C1BE6F"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44</w:t>
            </w:r>
          </w:p>
        </w:tc>
        <w:tc>
          <w:tcPr>
            <w:tcW w:w="10643" w:type="dxa"/>
            <w:shd w:val="clear" w:color="auto" w:fill="auto"/>
            <w:noWrap/>
            <w:vAlign w:val="bottom"/>
          </w:tcPr>
          <w:p w14:paraId="34B39100" w14:textId="6198713D"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VTH014 Kunnen registreren van de aanvraag of melding in het Omgevingsloket</w:t>
            </w:r>
          </w:p>
        </w:tc>
        <w:tc>
          <w:tcPr>
            <w:tcW w:w="1231" w:type="dxa"/>
          </w:tcPr>
          <w:p w14:paraId="67CE7D52"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77AAA833"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44787B8C" w14:textId="77777777" w:rsidTr="00A73F54">
        <w:trPr>
          <w:trHeight w:val="304"/>
        </w:trPr>
        <w:tc>
          <w:tcPr>
            <w:tcW w:w="1304" w:type="dxa"/>
            <w:shd w:val="clear" w:color="auto" w:fill="auto"/>
            <w:noWrap/>
            <w:vAlign w:val="bottom"/>
            <w:hideMark/>
          </w:tcPr>
          <w:p w14:paraId="4AE70C33"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45</w:t>
            </w:r>
          </w:p>
        </w:tc>
        <w:tc>
          <w:tcPr>
            <w:tcW w:w="10643" w:type="dxa"/>
            <w:shd w:val="clear" w:color="auto" w:fill="auto"/>
            <w:noWrap/>
            <w:vAlign w:val="bottom"/>
          </w:tcPr>
          <w:p w14:paraId="1CCBCD1B" w14:textId="303D0D79"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VTH026 Kunnen opvragen van de gemeentelijke legesregeling</w:t>
            </w:r>
          </w:p>
        </w:tc>
        <w:tc>
          <w:tcPr>
            <w:tcW w:w="1231" w:type="dxa"/>
          </w:tcPr>
          <w:p w14:paraId="518850B6"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758D3007"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05953E92" w14:textId="77777777" w:rsidTr="00A73F54">
        <w:trPr>
          <w:trHeight w:val="304"/>
        </w:trPr>
        <w:tc>
          <w:tcPr>
            <w:tcW w:w="1304" w:type="dxa"/>
            <w:shd w:val="clear" w:color="auto" w:fill="auto"/>
            <w:noWrap/>
            <w:vAlign w:val="bottom"/>
            <w:hideMark/>
          </w:tcPr>
          <w:p w14:paraId="5D287F34"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46</w:t>
            </w:r>
          </w:p>
        </w:tc>
        <w:tc>
          <w:tcPr>
            <w:tcW w:w="10643" w:type="dxa"/>
            <w:shd w:val="clear" w:color="auto" w:fill="auto"/>
            <w:noWrap/>
            <w:vAlign w:val="bottom"/>
          </w:tcPr>
          <w:p w14:paraId="75A4C375" w14:textId="313AAC68"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VTH051 Kunnen afhandelen van een planschadeprocedure</w:t>
            </w:r>
          </w:p>
        </w:tc>
        <w:tc>
          <w:tcPr>
            <w:tcW w:w="1231" w:type="dxa"/>
          </w:tcPr>
          <w:p w14:paraId="4CEB49FA"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7981DA01"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169ABEB6" w14:textId="77777777" w:rsidTr="00A73F54">
        <w:trPr>
          <w:trHeight w:val="304"/>
        </w:trPr>
        <w:tc>
          <w:tcPr>
            <w:tcW w:w="1304" w:type="dxa"/>
            <w:shd w:val="clear" w:color="auto" w:fill="auto"/>
            <w:noWrap/>
            <w:vAlign w:val="bottom"/>
            <w:hideMark/>
          </w:tcPr>
          <w:p w14:paraId="498E1139"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47</w:t>
            </w:r>
          </w:p>
        </w:tc>
        <w:tc>
          <w:tcPr>
            <w:tcW w:w="10643" w:type="dxa"/>
            <w:shd w:val="clear" w:color="auto" w:fill="auto"/>
            <w:noWrap/>
            <w:vAlign w:val="bottom"/>
          </w:tcPr>
          <w:p w14:paraId="6A379BA9" w14:textId="32F4D644"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VTH065 Kunnen opstellen van verslagen/rapportages</w:t>
            </w:r>
          </w:p>
        </w:tc>
        <w:tc>
          <w:tcPr>
            <w:tcW w:w="1231" w:type="dxa"/>
          </w:tcPr>
          <w:p w14:paraId="725B8812"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3C800709"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04749C2F" w14:textId="77777777" w:rsidTr="00A73F54">
        <w:trPr>
          <w:trHeight w:val="304"/>
        </w:trPr>
        <w:tc>
          <w:tcPr>
            <w:tcW w:w="1304" w:type="dxa"/>
            <w:shd w:val="clear" w:color="auto" w:fill="auto"/>
            <w:noWrap/>
            <w:vAlign w:val="bottom"/>
            <w:hideMark/>
          </w:tcPr>
          <w:p w14:paraId="499308CF"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48</w:t>
            </w:r>
          </w:p>
        </w:tc>
        <w:tc>
          <w:tcPr>
            <w:tcW w:w="10643" w:type="dxa"/>
            <w:shd w:val="clear" w:color="auto" w:fill="auto"/>
            <w:noWrap/>
            <w:vAlign w:val="bottom"/>
          </w:tcPr>
          <w:p w14:paraId="28C5CBFC" w14:textId="75CCC94A"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VTH068 Kunnen samenstellen van activiteiten tot een integraal besluit</w:t>
            </w:r>
          </w:p>
        </w:tc>
        <w:tc>
          <w:tcPr>
            <w:tcW w:w="1231" w:type="dxa"/>
          </w:tcPr>
          <w:p w14:paraId="472F53C5"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7DAD8281"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300C4F1C" w14:textId="77777777" w:rsidTr="00A73F54">
        <w:trPr>
          <w:trHeight w:val="304"/>
        </w:trPr>
        <w:tc>
          <w:tcPr>
            <w:tcW w:w="1304" w:type="dxa"/>
            <w:shd w:val="clear" w:color="auto" w:fill="auto"/>
            <w:noWrap/>
            <w:vAlign w:val="bottom"/>
            <w:hideMark/>
          </w:tcPr>
          <w:p w14:paraId="08985A5F" w14:textId="77777777"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Wens 49</w:t>
            </w:r>
          </w:p>
        </w:tc>
        <w:tc>
          <w:tcPr>
            <w:tcW w:w="10643" w:type="dxa"/>
            <w:shd w:val="clear" w:color="auto" w:fill="auto"/>
            <w:noWrap/>
            <w:vAlign w:val="bottom"/>
          </w:tcPr>
          <w:p w14:paraId="57CF90D4" w14:textId="4C530CE0"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VTH074 Kunnen agenderen van een adviesvraag aan de Gemeenteraad</w:t>
            </w:r>
          </w:p>
        </w:tc>
        <w:tc>
          <w:tcPr>
            <w:tcW w:w="1231" w:type="dxa"/>
          </w:tcPr>
          <w:p w14:paraId="50F3F632" w14:textId="77777777" w:rsidR="00A73F54" w:rsidRPr="0064272A" w:rsidRDefault="00A73F54" w:rsidP="00A73F54">
            <w:pPr>
              <w:spacing w:after="0" w:line="240" w:lineRule="auto"/>
              <w:rPr>
                <w:rFonts w:ascii="Calibri" w:eastAsia="Times New Roman" w:hAnsi="Calibri" w:cs="Calibri"/>
                <w:color w:val="000000"/>
                <w:lang w:eastAsia="nl-NL"/>
              </w:rPr>
            </w:pPr>
            <w:r>
              <w:t>Ja/Nee</w:t>
            </w:r>
          </w:p>
        </w:tc>
        <w:tc>
          <w:tcPr>
            <w:tcW w:w="1843" w:type="dxa"/>
          </w:tcPr>
          <w:p w14:paraId="3A38CC8F" w14:textId="77777777" w:rsidR="00A73F54" w:rsidRPr="0064272A" w:rsidRDefault="00A73F54" w:rsidP="00A73F54">
            <w:pPr>
              <w:spacing w:after="0" w:line="240" w:lineRule="auto"/>
              <w:rPr>
                <w:rFonts w:ascii="Calibri" w:eastAsia="Times New Roman" w:hAnsi="Calibri" w:cs="Calibri"/>
                <w:color w:val="000000"/>
                <w:lang w:eastAsia="nl-NL"/>
              </w:rPr>
            </w:pPr>
          </w:p>
        </w:tc>
      </w:tr>
      <w:tr w:rsidR="00A73F54" w:rsidRPr="0064272A" w14:paraId="710D59FF" w14:textId="77777777" w:rsidTr="00E63813">
        <w:trPr>
          <w:trHeight w:val="304"/>
        </w:trPr>
        <w:tc>
          <w:tcPr>
            <w:tcW w:w="1304" w:type="dxa"/>
            <w:shd w:val="clear" w:color="auto" w:fill="auto"/>
            <w:noWrap/>
            <w:vAlign w:val="bottom"/>
          </w:tcPr>
          <w:p w14:paraId="467C2DC1" w14:textId="78AB992A" w:rsidR="00A73F54" w:rsidRPr="0064272A" w:rsidRDefault="00A73F54" w:rsidP="00A73F54">
            <w:pPr>
              <w:spacing w:after="0" w:line="240" w:lineRule="auto"/>
              <w:rPr>
                <w:rFonts w:ascii="Calibri" w:eastAsia="Times New Roman" w:hAnsi="Calibri" w:cs="Calibri"/>
                <w:color w:val="000000"/>
                <w:lang w:eastAsia="nl-NL"/>
              </w:rPr>
            </w:pPr>
            <w:r>
              <w:rPr>
                <w:rFonts w:ascii="Calibri" w:eastAsia="Times New Roman" w:hAnsi="Calibri" w:cs="Calibri"/>
                <w:color w:val="000000"/>
                <w:lang w:eastAsia="nl-NL"/>
              </w:rPr>
              <w:t>Wens 50</w:t>
            </w:r>
          </w:p>
        </w:tc>
        <w:tc>
          <w:tcPr>
            <w:tcW w:w="10643" w:type="dxa"/>
            <w:shd w:val="clear" w:color="auto" w:fill="auto"/>
            <w:noWrap/>
            <w:vAlign w:val="bottom"/>
          </w:tcPr>
          <w:p w14:paraId="24F41A62" w14:textId="2921C3EB" w:rsidR="00A73F54" w:rsidRPr="0064272A" w:rsidRDefault="00A73F54" w:rsidP="00A73F54">
            <w:pPr>
              <w:spacing w:after="0" w:line="240" w:lineRule="auto"/>
              <w:rPr>
                <w:rFonts w:ascii="Calibri" w:eastAsia="Times New Roman" w:hAnsi="Calibri" w:cs="Calibri"/>
                <w:color w:val="000000"/>
                <w:lang w:eastAsia="nl-NL"/>
              </w:rPr>
            </w:pPr>
            <w:r w:rsidRPr="0064272A">
              <w:rPr>
                <w:rFonts w:ascii="Calibri" w:eastAsia="Times New Roman" w:hAnsi="Calibri" w:cs="Calibri"/>
                <w:color w:val="000000"/>
                <w:lang w:eastAsia="nl-NL"/>
              </w:rPr>
              <w:t>VTH092 Kunnen doen van verzoek om wijziging in omgevingsplan</w:t>
            </w:r>
          </w:p>
        </w:tc>
        <w:tc>
          <w:tcPr>
            <w:tcW w:w="1231" w:type="dxa"/>
          </w:tcPr>
          <w:p w14:paraId="43A4F034" w14:textId="5BE90FF9" w:rsidR="00A73F54" w:rsidRDefault="00A73F54" w:rsidP="00A73F54">
            <w:pPr>
              <w:spacing w:after="0" w:line="240" w:lineRule="auto"/>
            </w:pPr>
            <w:r>
              <w:t>Ja/Nee</w:t>
            </w:r>
          </w:p>
        </w:tc>
        <w:tc>
          <w:tcPr>
            <w:tcW w:w="1843" w:type="dxa"/>
          </w:tcPr>
          <w:p w14:paraId="299FC320" w14:textId="77777777" w:rsidR="00A73F54" w:rsidRPr="0064272A" w:rsidRDefault="00A73F54" w:rsidP="00A73F54">
            <w:pPr>
              <w:spacing w:after="0" w:line="240" w:lineRule="auto"/>
              <w:rPr>
                <w:rFonts w:ascii="Calibri" w:eastAsia="Times New Roman" w:hAnsi="Calibri" w:cs="Calibri"/>
                <w:color w:val="000000"/>
                <w:lang w:eastAsia="nl-NL"/>
              </w:rPr>
            </w:pPr>
          </w:p>
        </w:tc>
      </w:tr>
    </w:tbl>
    <w:p w14:paraId="6343B1BF" w14:textId="77777777" w:rsidR="0064272A" w:rsidRDefault="0064272A">
      <w:pPr>
        <w:rPr>
          <w:b/>
          <w:i/>
        </w:rPr>
      </w:pPr>
    </w:p>
    <w:p w14:paraId="3706DEA7" w14:textId="77777777" w:rsidR="00BF5A85" w:rsidRDefault="00BF5A85" w:rsidP="008062DF"/>
    <w:sectPr w:rsidR="00BF5A85" w:rsidSect="0064272A">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55B9A"/>
    <w:multiLevelType w:val="multilevel"/>
    <w:tmpl w:val="7086639C"/>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1134" w:hanging="1134"/>
      </w:pPr>
      <w:rPr>
        <w:rFonts w:hint="default"/>
      </w:rPr>
    </w:lvl>
    <w:lvl w:ilvl="3">
      <w:start w:val="1"/>
      <w:numFmt w:val="decimal"/>
      <w:pStyle w:val="Kop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 w:numId="2">
    <w:abstractNumId w:val="0"/>
    <w:lvlOverride w:ilvl="0">
      <w:lvl w:ilvl="0">
        <w:start w:val="1"/>
        <w:numFmt w:val="decimal"/>
        <w:pStyle w:val="Kop1"/>
        <w:lvlText w:val="%1"/>
        <w:lvlJc w:val="left"/>
        <w:pPr>
          <w:ind w:left="432" w:hanging="432"/>
        </w:pPr>
        <w:rPr>
          <w:rFonts w:hint="default"/>
        </w:rPr>
      </w:lvl>
    </w:lvlOverride>
    <w:lvlOverride w:ilvl="1">
      <w:lvl w:ilvl="1">
        <w:start w:val="1"/>
        <w:numFmt w:val="decimal"/>
        <w:pStyle w:val="Kop2"/>
        <w:lvlText w:val="%1.%2"/>
        <w:lvlJc w:val="left"/>
        <w:pPr>
          <w:ind w:left="576" w:hanging="576"/>
        </w:pPr>
        <w:rPr>
          <w:rFonts w:hint="default"/>
        </w:rPr>
      </w:lvl>
    </w:lvlOverride>
    <w:lvlOverride w:ilvl="2">
      <w:lvl w:ilvl="2">
        <w:start w:val="1"/>
        <w:numFmt w:val="decimal"/>
        <w:pStyle w:val="Kop3"/>
        <w:lvlText w:val="%1.%2.%3"/>
        <w:lvlJc w:val="left"/>
        <w:pPr>
          <w:ind w:left="1134" w:hanging="1134"/>
        </w:pPr>
        <w:rPr>
          <w:rFonts w:hint="default"/>
        </w:rPr>
      </w:lvl>
    </w:lvlOverride>
    <w:lvlOverride w:ilvl="3">
      <w:lvl w:ilvl="3">
        <w:start w:val="1"/>
        <w:numFmt w:val="decimal"/>
        <w:pStyle w:val="Kop4"/>
        <w:lvlText w:val="%1.%2.%3.%4"/>
        <w:lvlJc w:val="left"/>
        <w:pPr>
          <w:ind w:left="1134" w:hanging="1134"/>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85"/>
    <w:rsid w:val="00006ADA"/>
    <w:rsid w:val="000B5276"/>
    <w:rsid w:val="00271CD9"/>
    <w:rsid w:val="005351CB"/>
    <w:rsid w:val="0064272A"/>
    <w:rsid w:val="007F3D20"/>
    <w:rsid w:val="008062DF"/>
    <w:rsid w:val="0081443E"/>
    <w:rsid w:val="00987F6E"/>
    <w:rsid w:val="00A314F7"/>
    <w:rsid w:val="00A73F54"/>
    <w:rsid w:val="00A8671D"/>
    <w:rsid w:val="00A96570"/>
    <w:rsid w:val="00B841DE"/>
    <w:rsid w:val="00BF5A85"/>
    <w:rsid w:val="00C54C2D"/>
    <w:rsid w:val="00C556D8"/>
    <w:rsid w:val="00D013A3"/>
    <w:rsid w:val="00D94234"/>
    <w:rsid w:val="00E57A32"/>
    <w:rsid w:val="00E63813"/>
    <w:rsid w:val="00E93CED"/>
    <w:rsid w:val="00FC38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7A288"/>
  <w15:chartTrackingRefBased/>
  <w15:docId w15:val="{A2D1B3B8-B1C4-4C9E-B7DF-81E28703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BF5A85"/>
    <w:pPr>
      <w:keepNext/>
      <w:keepLines/>
      <w:numPr>
        <w:numId w:val="1"/>
      </w:numPr>
      <w:spacing w:before="240" w:after="0" w:line="280" w:lineRule="atLeast"/>
      <w:outlineLvl w:val="0"/>
    </w:pPr>
    <w:rPr>
      <w:rFonts w:ascii="Lucida Sans" w:eastAsiaTheme="majorEastAsia" w:hAnsi="Lucida Sans" w:cstheme="majorBidi"/>
      <w:b/>
      <w:sz w:val="26"/>
      <w:szCs w:val="32"/>
      <w:lang w:eastAsia="nl-NL"/>
    </w:rPr>
  </w:style>
  <w:style w:type="paragraph" w:styleId="Kop2">
    <w:name w:val="heading 2"/>
    <w:basedOn w:val="Kop1"/>
    <w:next w:val="Standaard"/>
    <w:link w:val="Kop2Char"/>
    <w:unhideWhenUsed/>
    <w:qFormat/>
    <w:rsid w:val="00BF5A85"/>
    <w:pPr>
      <w:numPr>
        <w:ilvl w:val="1"/>
      </w:numPr>
      <w:outlineLvl w:val="1"/>
    </w:pPr>
    <w:rPr>
      <w:sz w:val="22"/>
      <w:szCs w:val="26"/>
    </w:rPr>
  </w:style>
  <w:style w:type="paragraph" w:styleId="Kop3">
    <w:name w:val="heading 3"/>
    <w:basedOn w:val="Kop2"/>
    <w:next w:val="Standaard"/>
    <w:link w:val="Kop3Char"/>
    <w:autoRedefine/>
    <w:unhideWhenUsed/>
    <w:qFormat/>
    <w:rsid w:val="00BF5A85"/>
    <w:pPr>
      <w:numPr>
        <w:ilvl w:val="2"/>
      </w:numPr>
      <w:outlineLvl w:val="2"/>
    </w:pPr>
    <w:rPr>
      <w:sz w:val="20"/>
    </w:rPr>
  </w:style>
  <w:style w:type="paragraph" w:styleId="Kop4">
    <w:name w:val="heading 4"/>
    <w:basedOn w:val="Kop3"/>
    <w:next w:val="Standaard"/>
    <w:link w:val="Kop4Char"/>
    <w:autoRedefine/>
    <w:unhideWhenUsed/>
    <w:qFormat/>
    <w:rsid w:val="00BF5A85"/>
    <w:pPr>
      <w:numPr>
        <w:ilvl w:val="3"/>
      </w:numPr>
      <w:spacing w:before="120" w:after="80"/>
      <w:outlineLvl w:val="3"/>
    </w:pPr>
    <w:rPr>
      <w:iCs/>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F5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F5A85"/>
    <w:rPr>
      <w:rFonts w:cs="Times New Roman"/>
      <w:color w:val="0563C1" w:themeColor="hyperlink"/>
      <w:u w:val="single"/>
    </w:rPr>
  </w:style>
  <w:style w:type="paragraph" w:styleId="Lijstmetafbeeldingen">
    <w:name w:val="table of figures"/>
    <w:basedOn w:val="Standaard"/>
    <w:next w:val="Standaard"/>
    <w:link w:val="LijstmetafbeeldingenChar"/>
    <w:uiPriority w:val="99"/>
    <w:unhideWhenUsed/>
    <w:rsid w:val="00BF5A85"/>
    <w:pPr>
      <w:spacing w:after="0" w:line="280" w:lineRule="atLeast"/>
    </w:pPr>
    <w:rPr>
      <w:rFonts w:ascii="Lucida Sans" w:eastAsia="Times New Roman" w:hAnsi="Lucida Sans" w:cs="Times New Roman"/>
      <w:sz w:val="18"/>
      <w:szCs w:val="24"/>
      <w:lang w:eastAsia="nl-NL"/>
    </w:rPr>
  </w:style>
  <w:style w:type="character" w:customStyle="1" w:styleId="LijstmetafbeeldingenChar">
    <w:name w:val="Lijst met afbeeldingen Char"/>
    <w:basedOn w:val="Standaardalinea-lettertype"/>
    <w:link w:val="Lijstmetafbeeldingen"/>
    <w:uiPriority w:val="99"/>
    <w:rsid w:val="00BF5A85"/>
    <w:rPr>
      <w:rFonts w:ascii="Lucida Sans" w:eastAsia="Times New Roman" w:hAnsi="Lucida Sans" w:cs="Times New Roman"/>
      <w:sz w:val="18"/>
      <w:szCs w:val="24"/>
      <w:lang w:eastAsia="nl-NL"/>
    </w:rPr>
  </w:style>
  <w:style w:type="character" w:customStyle="1" w:styleId="Kop1Char">
    <w:name w:val="Kop 1 Char"/>
    <w:basedOn w:val="Standaardalinea-lettertype"/>
    <w:link w:val="Kop1"/>
    <w:rsid w:val="00BF5A85"/>
    <w:rPr>
      <w:rFonts w:ascii="Lucida Sans" w:eastAsiaTheme="majorEastAsia" w:hAnsi="Lucida Sans" w:cstheme="majorBidi"/>
      <w:b/>
      <w:sz w:val="26"/>
      <w:szCs w:val="32"/>
      <w:lang w:eastAsia="nl-NL"/>
    </w:rPr>
  </w:style>
  <w:style w:type="character" w:customStyle="1" w:styleId="Kop2Char">
    <w:name w:val="Kop 2 Char"/>
    <w:basedOn w:val="Standaardalinea-lettertype"/>
    <w:link w:val="Kop2"/>
    <w:rsid w:val="00BF5A85"/>
    <w:rPr>
      <w:rFonts w:ascii="Lucida Sans" w:eastAsiaTheme="majorEastAsia" w:hAnsi="Lucida Sans" w:cstheme="majorBidi"/>
      <w:b/>
      <w:szCs w:val="26"/>
      <w:lang w:eastAsia="nl-NL"/>
    </w:rPr>
  </w:style>
  <w:style w:type="character" w:customStyle="1" w:styleId="Kop3Char">
    <w:name w:val="Kop 3 Char"/>
    <w:basedOn w:val="Standaardalinea-lettertype"/>
    <w:link w:val="Kop3"/>
    <w:rsid w:val="00BF5A85"/>
    <w:rPr>
      <w:rFonts w:ascii="Lucida Sans" w:eastAsiaTheme="majorEastAsia" w:hAnsi="Lucida Sans" w:cstheme="majorBidi"/>
      <w:b/>
      <w:sz w:val="20"/>
      <w:szCs w:val="26"/>
      <w:lang w:eastAsia="nl-NL"/>
    </w:rPr>
  </w:style>
  <w:style w:type="character" w:customStyle="1" w:styleId="Kop4Char">
    <w:name w:val="Kop 4 Char"/>
    <w:basedOn w:val="Standaardalinea-lettertype"/>
    <w:link w:val="Kop4"/>
    <w:rsid w:val="00BF5A85"/>
    <w:rPr>
      <w:rFonts w:ascii="Lucida Sans" w:eastAsiaTheme="majorEastAsia" w:hAnsi="Lucida Sans" w:cstheme="majorBidi"/>
      <w:b/>
      <w:iCs/>
      <w:sz w:val="18"/>
      <w:szCs w:val="26"/>
      <w:lang w:eastAsia="nl-NL"/>
    </w:rPr>
  </w:style>
  <w:style w:type="paragraph" w:styleId="Koptekst">
    <w:name w:val="header"/>
    <w:basedOn w:val="Standaard"/>
    <w:link w:val="KoptekstChar"/>
    <w:rsid w:val="00BF5A85"/>
    <w:pPr>
      <w:tabs>
        <w:tab w:val="center" w:pos="4513"/>
        <w:tab w:val="right" w:pos="9026"/>
      </w:tabs>
      <w:spacing w:after="0" w:line="240" w:lineRule="auto"/>
    </w:pPr>
    <w:rPr>
      <w:rFonts w:ascii="Lucida Sans" w:eastAsia="Times New Roman" w:hAnsi="Lucida Sans" w:cs="Times New Roman"/>
      <w:sz w:val="18"/>
      <w:szCs w:val="24"/>
      <w:lang w:eastAsia="nl-NL"/>
    </w:rPr>
  </w:style>
  <w:style w:type="character" w:customStyle="1" w:styleId="KoptekstChar">
    <w:name w:val="Koptekst Char"/>
    <w:basedOn w:val="Standaardalinea-lettertype"/>
    <w:link w:val="Koptekst"/>
    <w:rsid w:val="00BF5A85"/>
    <w:rPr>
      <w:rFonts w:ascii="Lucida Sans" w:eastAsia="Times New Roman" w:hAnsi="Lucida Sans" w:cs="Times New Roman"/>
      <w:sz w:val="18"/>
      <w:szCs w:val="24"/>
      <w:lang w:eastAsia="nl-NL"/>
    </w:rPr>
  </w:style>
  <w:style w:type="character" w:styleId="Onopgelostemelding">
    <w:name w:val="Unresolved Mention"/>
    <w:basedOn w:val="Standaardalinea-lettertype"/>
    <w:uiPriority w:val="99"/>
    <w:semiHidden/>
    <w:unhideWhenUsed/>
    <w:rsid w:val="00BF5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579016">
      <w:bodyDiv w:val="1"/>
      <w:marLeft w:val="0"/>
      <w:marRight w:val="0"/>
      <w:marTop w:val="0"/>
      <w:marBottom w:val="0"/>
      <w:divBdr>
        <w:top w:val="none" w:sz="0" w:space="0" w:color="auto"/>
        <w:left w:val="none" w:sz="0" w:space="0" w:color="auto"/>
        <w:bottom w:val="none" w:sz="0" w:space="0" w:color="auto"/>
        <w:right w:val="none" w:sz="0" w:space="0" w:color="auto"/>
      </w:divBdr>
    </w:div>
    <w:div w:id="1006245932">
      <w:bodyDiv w:val="1"/>
      <w:marLeft w:val="0"/>
      <w:marRight w:val="0"/>
      <w:marTop w:val="0"/>
      <w:marBottom w:val="0"/>
      <w:divBdr>
        <w:top w:val="none" w:sz="0" w:space="0" w:color="auto"/>
        <w:left w:val="none" w:sz="0" w:space="0" w:color="auto"/>
        <w:bottom w:val="none" w:sz="0" w:space="0" w:color="auto"/>
        <w:right w:val="none" w:sz="0" w:space="0" w:color="auto"/>
      </w:divBdr>
    </w:div>
    <w:div w:id="1287195406">
      <w:bodyDiv w:val="1"/>
      <w:marLeft w:val="0"/>
      <w:marRight w:val="0"/>
      <w:marTop w:val="0"/>
      <w:marBottom w:val="0"/>
      <w:divBdr>
        <w:top w:val="none" w:sz="0" w:space="0" w:color="auto"/>
        <w:left w:val="none" w:sz="0" w:space="0" w:color="auto"/>
        <w:bottom w:val="none" w:sz="0" w:space="0" w:color="auto"/>
        <w:right w:val="none" w:sz="0" w:space="0" w:color="auto"/>
      </w:divBdr>
    </w:div>
    <w:div w:id="137665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31198681C15546BEBC1BBCD7C4615C" ma:contentTypeVersion="11" ma:contentTypeDescription="Een nieuw document maken." ma:contentTypeScope="" ma:versionID="74b4613680bcd71b67f5c4821d71b3c9">
  <xsd:schema xmlns:xsd="http://www.w3.org/2001/XMLSchema" xmlns:xs="http://www.w3.org/2001/XMLSchema" xmlns:p="http://schemas.microsoft.com/office/2006/metadata/properties" xmlns:ns2="21d7dc42-9b06-4346-9c20-d8ad030b498f" xmlns:ns3="ff64f7e6-b751-46fa-a71c-51e3d7812b73" targetNamespace="http://schemas.microsoft.com/office/2006/metadata/properties" ma:root="true" ma:fieldsID="fffba67e3fafc3c350bb8638834bce08" ns2:_="" ns3:_="">
    <xsd:import namespace="21d7dc42-9b06-4346-9c20-d8ad030b498f"/>
    <xsd:import namespace="ff64f7e6-b751-46fa-a71c-51e3d7812b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7dc42-9b06-4346-9c20-d8ad030b49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64f7e6-b751-46fa-a71c-51e3d7812b73"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91B0A-45C6-4925-B87B-53C373597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0F0DC8-95BC-4753-8367-EBC8F68650C0}">
  <ds:schemaRefs>
    <ds:schemaRef ds:uri="http://schemas.microsoft.com/sharepoint/v3/contenttype/forms"/>
  </ds:schemaRefs>
</ds:datastoreItem>
</file>

<file path=customXml/itemProps3.xml><?xml version="1.0" encoding="utf-8"?>
<ds:datastoreItem xmlns:ds="http://schemas.openxmlformats.org/officeDocument/2006/customXml" ds:itemID="{38F5711F-EB6C-4E0F-84EE-C277961FC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7dc42-9b06-4346-9c20-d8ad030b498f"/>
    <ds:schemaRef ds:uri="ff64f7e6-b751-46fa-a71c-51e3d781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1217</Words>
  <Characters>6697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SSC de Kempen</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Jochem Berns</dc:creator>
  <cp:keywords/>
  <dc:description/>
  <cp:lastModifiedBy>John Atgier</cp:lastModifiedBy>
  <cp:revision>7</cp:revision>
  <dcterms:created xsi:type="dcterms:W3CDTF">2020-01-15T13:28:00Z</dcterms:created>
  <dcterms:modified xsi:type="dcterms:W3CDTF">2020-10-01T12:11:00Z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0x0101006D31198681C15546BEBC1BBCD7C4615C</vt:lpwstr>
  </property>
</Properties>
</file>